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A160D7" w14:textId="77777777" w:rsidR="003D3B81" w:rsidRDefault="003D3B81" w:rsidP="003D3B81">
      <w:pPr>
        <w:spacing w:line="480" w:lineRule="auto"/>
        <w:jc w:val="center"/>
        <w:rPr>
          <w:rFonts w:ascii="Times New Roman" w:hAnsi="Times New Roman" w:cs="Times New Roman"/>
          <w:sz w:val="24"/>
          <w:szCs w:val="24"/>
        </w:rPr>
      </w:pPr>
    </w:p>
    <w:p w14:paraId="1B0CD7A6" w14:textId="77777777" w:rsidR="003D3B81" w:rsidRDefault="003D3B81" w:rsidP="003D3B81">
      <w:pPr>
        <w:spacing w:line="480" w:lineRule="auto"/>
        <w:jc w:val="center"/>
        <w:rPr>
          <w:rFonts w:ascii="Times New Roman" w:hAnsi="Times New Roman" w:cs="Times New Roman"/>
          <w:sz w:val="24"/>
          <w:szCs w:val="24"/>
        </w:rPr>
      </w:pPr>
    </w:p>
    <w:p w14:paraId="56B9AFFA" w14:textId="77777777" w:rsidR="003D3B81" w:rsidRDefault="003D3B81" w:rsidP="003D3B81">
      <w:pPr>
        <w:spacing w:line="480" w:lineRule="auto"/>
        <w:jc w:val="center"/>
        <w:rPr>
          <w:rFonts w:ascii="Times New Roman" w:hAnsi="Times New Roman" w:cs="Times New Roman"/>
          <w:sz w:val="24"/>
          <w:szCs w:val="24"/>
        </w:rPr>
      </w:pPr>
    </w:p>
    <w:p w14:paraId="2CA0FE43" w14:textId="77777777" w:rsidR="003D3B81" w:rsidRDefault="003D3B81" w:rsidP="003D3B81">
      <w:pPr>
        <w:spacing w:line="480" w:lineRule="auto"/>
        <w:jc w:val="center"/>
        <w:rPr>
          <w:rFonts w:ascii="Times New Roman" w:hAnsi="Times New Roman" w:cs="Times New Roman"/>
          <w:sz w:val="24"/>
          <w:szCs w:val="24"/>
        </w:rPr>
      </w:pPr>
    </w:p>
    <w:p w14:paraId="37470E28" w14:textId="77777777" w:rsidR="003D3B81" w:rsidRDefault="003D3B81" w:rsidP="003D3B81">
      <w:pPr>
        <w:spacing w:line="480" w:lineRule="auto"/>
        <w:jc w:val="center"/>
        <w:rPr>
          <w:rFonts w:ascii="Times New Roman" w:hAnsi="Times New Roman" w:cs="Times New Roman"/>
          <w:sz w:val="24"/>
          <w:szCs w:val="24"/>
        </w:rPr>
      </w:pPr>
    </w:p>
    <w:p w14:paraId="3BF6E8C0" w14:textId="77777777" w:rsidR="003D3B81" w:rsidRDefault="003D3B81" w:rsidP="003D3B81">
      <w:pPr>
        <w:spacing w:line="480" w:lineRule="auto"/>
        <w:jc w:val="center"/>
        <w:rPr>
          <w:rFonts w:ascii="Times New Roman" w:hAnsi="Times New Roman" w:cs="Times New Roman"/>
          <w:sz w:val="24"/>
          <w:szCs w:val="24"/>
        </w:rPr>
      </w:pPr>
    </w:p>
    <w:p w14:paraId="2C4CE5A1" w14:textId="47159538" w:rsidR="00A41EAC" w:rsidRDefault="003D3B81" w:rsidP="003D3B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797F906" w14:textId="344B3E0E" w:rsidR="003D3B81" w:rsidRDefault="003D3B81" w:rsidP="003D3B8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DBFDB42" w14:textId="23D811ED" w:rsidR="003D3B81" w:rsidRDefault="003D3B81" w:rsidP="003D3B8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9060A3" w14:textId="220A7118" w:rsidR="003D3B81" w:rsidRDefault="003D3B81" w:rsidP="003D3B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F321B56" w14:textId="77777777" w:rsidR="003D3B81" w:rsidRPr="00D92798" w:rsidRDefault="003D3B81" w:rsidP="00D92798">
      <w:pPr>
        <w:spacing w:line="480" w:lineRule="auto"/>
        <w:rPr>
          <w:rFonts w:ascii="Times New Roman" w:hAnsi="Times New Roman" w:cs="Times New Roman"/>
          <w:sz w:val="24"/>
          <w:szCs w:val="24"/>
        </w:rPr>
      </w:pPr>
    </w:p>
    <w:p w14:paraId="0A4BEDE3" w14:textId="77777777" w:rsidR="003D3B81" w:rsidRDefault="003D3B81" w:rsidP="003D3B81">
      <w:pPr>
        <w:pStyle w:val="ListParagraph"/>
        <w:spacing w:line="480" w:lineRule="auto"/>
        <w:ind w:left="1080"/>
        <w:rPr>
          <w:rFonts w:ascii="Times New Roman" w:hAnsi="Times New Roman" w:cs="Times New Roman"/>
          <w:b/>
          <w:bCs/>
          <w:sz w:val="24"/>
          <w:szCs w:val="24"/>
        </w:rPr>
      </w:pPr>
    </w:p>
    <w:p w14:paraId="1DF1D2AB" w14:textId="77777777" w:rsidR="003D3B81" w:rsidRDefault="003D3B81" w:rsidP="003D3B81">
      <w:pPr>
        <w:pStyle w:val="ListParagraph"/>
        <w:spacing w:line="480" w:lineRule="auto"/>
        <w:ind w:left="1080"/>
        <w:rPr>
          <w:rFonts w:ascii="Times New Roman" w:hAnsi="Times New Roman" w:cs="Times New Roman"/>
          <w:b/>
          <w:bCs/>
          <w:sz w:val="24"/>
          <w:szCs w:val="24"/>
        </w:rPr>
      </w:pPr>
    </w:p>
    <w:p w14:paraId="612B9C3F" w14:textId="77777777" w:rsidR="003D3B81" w:rsidRPr="003D3B81" w:rsidRDefault="003D3B81" w:rsidP="003D3B81">
      <w:pPr>
        <w:spacing w:line="480" w:lineRule="auto"/>
        <w:rPr>
          <w:rFonts w:ascii="Times New Roman" w:hAnsi="Times New Roman" w:cs="Times New Roman"/>
          <w:b/>
          <w:bCs/>
          <w:sz w:val="24"/>
          <w:szCs w:val="24"/>
        </w:rPr>
      </w:pPr>
    </w:p>
    <w:p w14:paraId="61160A94" w14:textId="77777777" w:rsidR="003D3B81" w:rsidRPr="003D3B81" w:rsidRDefault="003D3B81" w:rsidP="003D3B81">
      <w:pPr>
        <w:spacing w:line="480" w:lineRule="auto"/>
        <w:ind w:left="720"/>
        <w:rPr>
          <w:rFonts w:ascii="Times New Roman" w:hAnsi="Times New Roman" w:cs="Times New Roman"/>
          <w:b/>
          <w:bCs/>
          <w:sz w:val="24"/>
          <w:szCs w:val="24"/>
        </w:rPr>
      </w:pPr>
    </w:p>
    <w:p w14:paraId="4A17CD9B" w14:textId="77777777" w:rsidR="003D3B81" w:rsidRDefault="003D3B81" w:rsidP="003D3B81"/>
    <w:p w14:paraId="0E3781B0" w14:textId="77777777" w:rsidR="003D3B81" w:rsidRDefault="003D3B81" w:rsidP="003D3B81"/>
    <w:p w14:paraId="0276F044" w14:textId="77777777" w:rsidR="003D3B81" w:rsidRDefault="003D3B81" w:rsidP="003D3B81"/>
    <w:p w14:paraId="27EC2471" w14:textId="77777777" w:rsidR="003D3B81" w:rsidRDefault="003D3B81" w:rsidP="003D3B81"/>
    <w:p w14:paraId="293EBE53" w14:textId="77777777" w:rsidR="003D3B81" w:rsidRDefault="003D3B81" w:rsidP="003D3B81"/>
    <w:p w14:paraId="76E93925" w14:textId="269A04CC" w:rsidR="006C1362" w:rsidRPr="003D3B81" w:rsidRDefault="00431B74" w:rsidP="003D3B81">
      <w:pPr>
        <w:pStyle w:val="ListParagraph"/>
        <w:numPr>
          <w:ilvl w:val="0"/>
          <w:numId w:val="4"/>
        </w:numPr>
        <w:rPr>
          <w:rFonts w:ascii="Times New Roman" w:hAnsi="Times New Roman" w:cs="Times New Roman"/>
          <w:b/>
          <w:sz w:val="24"/>
          <w:szCs w:val="24"/>
        </w:rPr>
      </w:pPr>
      <w:r w:rsidRPr="003D3B81">
        <w:rPr>
          <w:rFonts w:ascii="Times New Roman" w:hAnsi="Times New Roman" w:cs="Times New Roman"/>
          <w:b/>
          <w:sz w:val="24"/>
          <w:szCs w:val="24"/>
        </w:rPr>
        <w:lastRenderedPageBreak/>
        <w:t xml:space="preserve">discuss the case Commonwealth </w:t>
      </w:r>
      <w:r w:rsidR="003D3B81" w:rsidRPr="003D3B81">
        <w:rPr>
          <w:rFonts w:ascii="Times New Roman" w:hAnsi="Times New Roman" w:cs="Times New Roman"/>
          <w:b/>
          <w:sz w:val="24"/>
          <w:szCs w:val="24"/>
        </w:rPr>
        <w:t>vs.</w:t>
      </w:r>
      <w:r w:rsidRPr="003D3B81">
        <w:rPr>
          <w:rFonts w:ascii="Times New Roman" w:hAnsi="Times New Roman" w:cs="Times New Roman"/>
          <w:b/>
          <w:sz w:val="24"/>
          <w:szCs w:val="24"/>
        </w:rPr>
        <w:t xml:space="preserve"> Addicks, and explain whether or not that case impacted custody battles between mother and father</w:t>
      </w:r>
    </w:p>
    <w:p w14:paraId="63A7D611" w14:textId="47A63A35" w:rsidR="00431B74" w:rsidRPr="009B04EC" w:rsidRDefault="00431B74" w:rsidP="003D3B81">
      <w:pPr>
        <w:spacing w:line="480" w:lineRule="auto"/>
        <w:ind w:firstLine="360"/>
        <w:rPr>
          <w:rFonts w:ascii="Times New Roman" w:hAnsi="Times New Roman" w:cs="Times New Roman"/>
          <w:sz w:val="24"/>
          <w:szCs w:val="24"/>
        </w:rPr>
      </w:pPr>
      <w:bookmarkStart w:id="0" w:name="_GoBack"/>
      <w:bookmarkEnd w:id="0"/>
      <w:r w:rsidRPr="009B04EC">
        <w:rPr>
          <w:rFonts w:ascii="Times New Roman" w:hAnsi="Times New Roman" w:cs="Times New Roman"/>
          <w:color w:val="242424"/>
          <w:spacing w:val="2"/>
          <w:sz w:val="24"/>
          <w:szCs w:val="24"/>
          <w:shd w:val="clear" w:color="auto" w:fill="FFFFFF"/>
        </w:rPr>
        <w:t>The case of Commonwealth v. Addicks, the Pennsylvania Supreme Court awarded custody of two </w:t>
      </w:r>
      <w:r w:rsidRPr="009B04EC">
        <w:rPr>
          <w:rFonts w:ascii="Times New Roman" w:hAnsi="Times New Roman" w:cs="Times New Roman"/>
          <w:i/>
          <w:iCs/>
          <w:color w:val="242424"/>
          <w:spacing w:val="2"/>
          <w:sz w:val="24"/>
          <w:szCs w:val="24"/>
          <w:shd w:val="clear" w:color="auto" w:fill="FFFFFF"/>
        </w:rPr>
        <w:t>young </w:t>
      </w:r>
      <w:r w:rsidRPr="009B04EC">
        <w:rPr>
          <w:rFonts w:ascii="Times New Roman" w:hAnsi="Times New Roman" w:cs="Times New Roman"/>
          <w:color w:val="242424"/>
          <w:spacing w:val="2"/>
          <w:sz w:val="24"/>
          <w:szCs w:val="24"/>
          <w:shd w:val="clear" w:color="auto" w:fill="FFFFFF"/>
        </w:rPr>
        <w:t xml:space="preserve">daughters to </w:t>
      </w:r>
      <w:r w:rsidR="00015CCD" w:rsidRPr="009B04EC">
        <w:rPr>
          <w:rFonts w:ascii="Times New Roman" w:hAnsi="Times New Roman" w:cs="Times New Roman"/>
          <w:color w:val="242424"/>
          <w:spacing w:val="2"/>
          <w:sz w:val="24"/>
          <w:szCs w:val="24"/>
          <w:shd w:val="clear" w:color="auto" w:fill="FFFFFF"/>
        </w:rPr>
        <w:t>their mother</w:t>
      </w:r>
      <w:r w:rsidRPr="009B04EC">
        <w:rPr>
          <w:rFonts w:ascii="Times New Roman" w:hAnsi="Times New Roman" w:cs="Times New Roman"/>
          <w:color w:val="242424"/>
          <w:spacing w:val="2"/>
          <w:sz w:val="24"/>
          <w:szCs w:val="24"/>
          <w:shd w:val="clear" w:color="auto" w:fill="FFFFFF"/>
        </w:rPr>
        <w:t xml:space="preserve"> who was divorced to their father on account of adultery on the theory that it was best for the girls, given their age. Interestingly, the same Supreme Court then transferred custody of the girls back to their father, once the girls were old enough to understand their mother's adultery. Once again, the girls' "best interests" was the key.</w:t>
      </w:r>
    </w:p>
    <w:p w14:paraId="6660AF8F" w14:textId="77777777" w:rsidR="00431B74" w:rsidRPr="00431B74" w:rsidRDefault="00431B74" w:rsidP="00431B74">
      <w:pPr>
        <w:spacing w:line="480" w:lineRule="auto"/>
        <w:rPr>
          <w:rFonts w:ascii="Times New Roman" w:hAnsi="Times New Roman" w:cs="Times New Roman"/>
          <w:b/>
          <w:bCs/>
          <w:sz w:val="24"/>
          <w:szCs w:val="24"/>
        </w:rPr>
      </w:pPr>
    </w:p>
    <w:p w14:paraId="1B25A8D0" w14:textId="214BE051" w:rsidR="006C1362" w:rsidRPr="00431B74" w:rsidRDefault="006C1362" w:rsidP="00D92798">
      <w:pPr>
        <w:spacing w:line="480" w:lineRule="auto"/>
        <w:rPr>
          <w:rFonts w:ascii="Times New Roman" w:hAnsi="Times New Roman" w:cs="Times New Roman"/>
          <w:b/>
          <w:bCs/>
          <w:sz w:val="24"/>
          <w:szCs w:val="24"/>
        </w:rPr>
      </w:pPr>
      <w:r w:rsidRPr="00431B74">
        <w:rPr>
          <w:rFonts w:ascii="Times New Roman" w:hAnsi="Times New Roman" w:cs="Times New Roman"/>
          <w:b/>
          <w:bCs/>
          <w:sz w:val="24"/>
          <w:szCs w:val="24"/>
        </w:rPr>
        <w:t>2. Define a status offense and discuss the different terms/ categories associated with a state offense</w:t>
      </w:r>
    </w:p>
    <w:p w14:paraId="6DFBFEA7" w14:textId="62EC37CD" w:rsidR="00A41EAC" w:rsidRPr="00D92798" w:rsidRDefault="005A1C9F" w:rsidP="00D92798">
      <w:pPr>
        <w:spacing w:line="480" w:lineRule="auto"/>
        <w:rPr>
          <w:rFonts w:ascii="Times New Roman" w:hAnsi="Times New Roman" w:cs="Times New Roman"/>
          <w:sz w:val="24"/>
          <w:szCs w:val="24"/>
        </w:rPr>
      </w:pPr>
      <w:r w:rsidRPr="00D92798">
        <w:rPr>
          <w:rFonts w:ascii="Times New Roman" w:hAnsi="Times New Roman" w:cs="Times New Roman"/>
          <w:sz w:val="24"/>
          <w:szCs w:val="24"/>
        </w:rPr>
        <w:t>status offence an offence that would not be a crime if committed by an adult</w:t>
      </w:r>
      <w:r w:rsidR="002E135E" w:rsidRPr="00D92798">
        <w:rPr>
          <w:rFonts w:ascii="Times New Roman" w:hAnsi="Times New Roman" w:cs="Times New Roman"/>
          <w:sz w:val="24"/>
          <w:szCs w:val="24"/>
        </w:rPr>
        <w:t xml:space="preserve">. When a child's behavior is troubling but does not implicate criminal acts </w:t>
      </w:r>
      <w:r w:rsidR="002E135E" w:rsidRPr="00D92798">
        <w:rPr>
          <w:rFonts w:ascii="Times New Roman" w:hAnsi="Times New Roman" w:cs="Times New Roman"/>
          <w:i/>
          <w:iCs/>
          <w:sz w:val="24"/>
          <w:szCs w:val="24"/>
        </w:rPr>
        <w:t xml:space="preserve">per se, </w:t>
      </w:r>
      <w:r w:rsidR="002E135E" w:rsidRPr="00D92798">
        <w:rPr>
          <w:rFonts w:ascii="Times New Roman" w:hAnsi="Times New Roman" w:cs="Times New Roman"/>
          <w:sz w:val="24"/>
          <w:szCs w:val="24"/>
        </w:rPr>
        <w:t>the child may be brought to juvenile court to get "help." Recently in some states, the category of "sexually exploited" children has been added to the list of possible non-criminal juvenile cases, to decriminalize youth under 18 who have been prostituted or otherwise exploited for sex, and to provide services and assistance to them (Children's Defense Fund, 2014). Identify</w:t>
      </w:r>
      <w:r w:rsidR="002E135E" w:rsidRPr="00D92798">
        <w:rPr>
          <w:rFonts w:ascii="Times New Roman" w:hAnsi="Times New Roman" w:cs="Times New Roman"/>
          <w:sz w:val="24"/>
          <w:szCs w:val="24"/>
        </w:rPr>
        <w:softHyphen/>
        <w:t>ing children who have been utilized for sexual purposes and providing services for them through the statute is an effort to stem a burgeoning problem within our society, as the Internet is used more and more as a vehicle for procuring illegal sex and pornography.</w:t>
      </w:r>
    </w:p>
    <w:p w14:paraId="25A47B38" w14:textId="77777777" w:rsidR="00431B74" w:rsidRDefault="00431B74" w:rsidP="00D92798">
      <w:pPr>
        <w:spacing w:line="480" w:lineRule="auto"/>
        <w:rPr>
          <w:rFonts w:ascii="Times New Roman" w:hAnsi="Times New Roman" w:cs="Times New Roman"/>
          <w:b/>
          <w:bCs/>
          <w:sz w:val="24"/>
          <w:szCs w:val="24"/>
        </w:rPr>
      </w:pPr>
    </w:p>
    <w:p w14:paraId="4A2F19C5" w14:textId="736931B2" w:rsidR="00105DBE" w:rsidRPr="00A03DB3" w:rsidRDefault="006C1362" w:rsidP="00D92798">
      <w:pPr>
        <w:spacing w:line="480" w:lineRule="auto"/>
        <w:rPr>
          <w:rFonts w:ascii="Times New Roman" w:hAnsi="Times New Roman" w:cs="Times New Roman"/>
          <w:b/>
          <w:bCs/>
          <w:sz w:val="24"/>
          <w:szCs w:val="24"/>
        </w:rPr>
      </w:pPr>
      <w:r w:rsidRPr="00A03DB3">
        <w:rPr>
          <w:rFonts w:ascii="Times New Roman" w:hAnsi="Times New Roman" w:cs="Times New Roman"/>
          <w:b/>
          <w:bCs/>
          <w:sz w:val="24"/>
          <w:szCs w:val="24"/>
        </w:rPr>
        <w:t xml:space="preserve">3. discuss and explain each process and procedure </w:t>
      </w:r>
      <w:r w:rsidR="00A03DB3" w:rsidRPr="00A03DB3">
        <w:rPr>
          <w:rFonts w:ascii="Times New Roman" w:hAnsi="Times New Roman" w:cs="Times New Roman"/>
          <w:b/>
          <w:bCs/>
          <w:sz w:val="24"/>
          <w:szCs w:val="24"/>
        </w:rPr>
        <w:t>of the juvenile court</w:t>
      </w:r>
    </w:p>
    <w:p w14:paraId="56CB4F6A" w14:textId="299CBAD8" w:rsidR="00105DBE" w:rsidRPr="00D92798" w:rsidRDefault="005A1C9F" w:rsidP="00D92798">
      <w:pPr>
        <w:kinsoku w:val="0"/>
        <w:overflowPunct w:val="0"/>
        <w:spacing w:before="11" w:line="480" w:lineRule="auto"/>
        <w:ind w:right="72"/>
        <w:jc w:val="both"/>
        <w:textAlignment w:val="baseline"/>
        <w:rPr>
          <w:rFonts w:ascii="Times New Roman" w:hAnsi="Times New Roman" w:cs="Times New Roman"/>
          <w:sz w:val="24"/>
          <w:szCs w:val="24"/>
        </w:rPr>
      </w:pPr>
      <w:r w:rsidRPr="00D92798">
        <w:rPr>
          <w:rFonts w:ascii="Times New Roman" w:hAnsi="Times New Roman" w:cs="Times New Roman"/>
          <w:sz w:val="24"/>
          <w:szCs w:val="24"/>
        </w:rPr>
        <w:lastRenderedPageBreak/>
        <w:t xml:space="preserve"> An individual is charged with an offence, and summoned to court, sometimes utilizing a notice that is delivered to the person's residence, or sometimes by being arrested and transported to court by officers. On occasion, that person, whether an adult or a child, may be held by law-enforcement agencies, at a police station or in a jail or a children's holding facility, after an arrest, while waiting to go before a judge to be told of the charges against him, which is called an arraignment. One of the marks of progress in American juvenile justice is that children can no longer be held in the same space as adults whether convicted or awaiting trial (</w:t>
      </w:r>
      <w:proofErr w:type="spellStart"/>
      <w:r w:rsidRPr="00D92798">
        <w:rPr>
          <w:rFonts w:ascii="Times New Roman" w:hAnsi="Times New Roman" w:cs="Times New Roman"/>
          <w:sz w:val="24"/>
          <w:szCs w:val="24"/>
        </w:rPr>
        <w:t>Bartollas</w:t>
      </w:r>
      <w:proofErr w:type="spellEnd"/>
      <w:r w:rsidRPr="00D92798">
        <w:rPr>
          <w:rFonts w:ascii="Times New Roman" w:hAnsi="Times New Roman" w:cs="Times New Roman"/>
          <w:sz w:val="24"/>
          <w:szCs w:val="24"/>
        </w:rPr>
        <w:t xml:space="preserve"> and Miller, 2010; Siegel and Welch, 2010, 2014). Usually, a person charged with a crime or delinquency will be appointed an at</w:t>
      </w:r>
      <w:r w:rsidRPr="00D92798">
        <w:rPr>
          <w:rFonts w:ascii="Times New Roman" w:hAnsi="Times New Roman" w:cs="Times New Roman"/>
          <w:sz w:val="24"/>
          <w:szCs w:val="24"/>
        </w:rPr>
        <w:softHyphen/>
        <w:t>torney to represent him or her. After the arraignment, the individual may be held by the court while awaiting trial, maybe told to come up with an amount of money to guaranty his return to court (bail), or perhaps released.</w:t>
      </w:r>
    </w:p>
    <w:p w14:paraId="37D753DE" w14:textId="41474136" w:rsidR="002365AB" w:rsidRPr="006C1362" w:rsidRDefault="006C1362" w:rsidP="00D92798">
      <w:pPr>
        <w:spacing w:line="480" w:lineRule="auto"/>
        <w:rPr>
          <w:rFonts w:ascii="Times New Roman" w:hAnsi="Times New Roman" w:cs="Times New Roman"/>
          <w:b/>
          <w:bCs/>
          <w:sz w:val="24"/>
          <w:szCs w:val="24"/>
        </w:rPr>
      </w:pPr>
      <w:r w:rsidRPr="006C1362">
        <w:rPr>
          <w:rFonts w:ascii="Times New Roman" w:hAnsi="Times New Roman" w:cs="Times New Roman"/>
          <w:b/>
          <w:bCs/>
          <w:sz w:val="24"/>
          <w:szCs w:val="24"/>
        </w:rPr>
        <w:t>4. who are child savers and what was their mission?</w:t>
      </w:r>
    </w:p>
    <w:p w14:paraId="2C82183B" w14:textId="6DE61CA4" w:rsidR="00A41EAC" w:rsidRPr="00D92798" w:rsidRDefault="005A1C9F" w:rsidP="00D92798">
      <w:pPr>
        <w:kinsoku w:val="0"/>
        <w:overflowPunct w:val="0"/>
        <w:spacing w:before="47" w:line="480" w:lineRule="auto"/>
        <w:textAlignment w:val="baseline"/>
        <w:rPr>
          <w:rFonts w:ascii="Times New Roman" w:hAnsi="Times New Roman" w:cs="Times New Roman"/>
          <w:spacing w:val="2"/>
          <w:sz w:val="24"/>
          <w:szCs w:val="24"/>
        </w:rPr>
      </w:pPr>
      <w:r w:rsidRPr="00D92798">
        <w:rPr>
          <w:rFonts w:ascii="Times New Roman" w:hAnsi="Times New Roman" w:cs="Times New Roman"/>
          <w:spacing w:val="2"/>
          <w:sz w:val="24"/>
          <w:szCs w:val="24"/>
        </w:rPr>
        <w:t xml:space="preserve">Child Saver Movement founded chiefly by middle- and upper-class women whose aim was to protect children from abuse, at the same time influencing child </w:t>
      </w:r>
      <w:proofErr w:type="spellStart"/>
      <w:r w:rsidRPr="00D92798">
        <w:rPr>
          <w:rFonts w:ascii="Times New Roman" w:hAnsi="Times New Roman" w:cs="Times New Roman"/>
          <w:spacing w:val="2"/>
          <w:sz w:val="24"/>
          <w:szCs w:val="24"/>
        </w:rPr>
        <w:t>labour</w:t>
      </w:r>
      <w:proofErr w:type="spellEnd"/>
      <w:r w:rsidRPr="00D92798">
        <w:rPr>
          <w:rFonts w:ascii="Times New Roman" w:hAnsi="Times New Roman" w:cs="Times New Roman"/>
          <w:spacing w:val="2"/>
          <w:sz w:val="24"/>
          <w:szCs w:val="24"/>
        </w:rPr>
        <w:t xml:space="preserve"> practices and legal practices affecting children.</w:t>
      </w:r>
    </w:p>
    <w:p w14:paraId="2FE5B524" w14:textId="5870A08B" w:rsidR="00251E9D" w:rsidRPr="006C1362" w:rsidRDefault="006C1362" w:rsidP="00D92798">
      <w:pPr>
        <w:kinsoku w:val="0"/>
        <w:overflowPunct w:val="0"/>
        <w:spacing w:before="47" w:line="480" w:lineRule="auto"/>
        <w:textAlignment w:val="baseline"/>
        <w:rPr>
          <w:rFonts w:ascii="Times New Roman" w:hAnsi="Times New Roman" w:cs="Times New Roman"/>
          <w:b/>
          <w:bCs/>
          <w:spacing w:val="2"/>
          <w:sz w:val="24"/>
          <w:szCs w:val="24"/>
        </w:rPr>
      </w:pPr>
      <w:r w:rsidRPr="006C1362">
        <w:rPr>
          <w:rFonts w:ascii="Times New Roman" w:hAnsi="Times New Roman" w:cs="Times New Roman"/>
          <w:b/>
          <w:bCs/>
          <w:spacing w:val="2"/>
          <w:sz w:val="24"/>
          <w:szCs w:val="24"/>
        </w:rPr>
        <w:t>5. what are the three types of situations that can bring a youth before the juvenile court</w:t>
      </w:r>
    </w:p>
    <w:p w14:paraId="4F48279B" w14:textId="3D590082" w:rsidR="00251E9D" w:rsidRPr="00D92798" w:rsidRDefault="005A1C9F" w:rsidP="00D92798">
      <w:pPr>
        <w:kinsoku w:val="0"/>
        <w:overflowPunct w:val="0"/>
        <w:spacing w:before="47" w:line="480" w:lineRule="auto"/>
        <w:textAlignment w:val="baseline"/>
        <w:rPr>
          <w:rFonts w:ascii="Times New Roman" w:hAnsi="Times New Roman" w:cs="Times New Roman"/>
          <w:sz w:val="24"/>
          <w:szCs w:val="24"/>
          <w:shd w:val="clear" w:color="auto" w:fill="FFFFFF"/>
        </w:rPr>
      </w:pPr>
      <w:r w:rsidRPr="00D92798">
        <w:rPr>
          <w:rFonts w:ascii="Times New Roman" w:hAnsi="Times New Roman" w:cs="Times New Roman"/>
          <w:sz w:val="24"/>
          <w:szCs w:val="24"/>
        </w:rPr>
        <w:t>Juvenile courts typically have jurisdiction, that is authority, over cases that involve the behavior and welfare of children, most par</w:t>
      </w:r>
      <w:r w:rsidRPr="00D92798">
        <w:rPr>
          <w:rFonts w:ascii="Times New Roman" w:hAnsi="Times New Roman" w:cs="Times New Roman"/>
          <w:sz w:val="24"/>
          <w:szCs w:val="24"/>
        </w:rPr>
        <w:softHyphen/>
        <w:t>ticularly when the behavior is criminal or causes harm or the risk of damage to the child or others, or when parents' behavior toward their child causes severe injury or the risk of serious harm to the child. Juvenile court has jurisdiction over delinquencies, status of</w:t>
      </w:r>
      <w:r w:rsidRPr="00D92798">
        <w:rPr>
          <w:rFonts w:ascii="Times New Roman" w:hAnsi="Times New Roman" w:cs="Times New Roman"/>
          <w:sz w:val="24"/>
          <w:szCs w:val="24"/>
        </w:rPr>
        <w:softHyphen/>
        <w:t>fenses, and child welfare cases.</w:t>
      </w:r>
      <w:r w:rsidRPr="00D92798">
        <w:rPr>
          <w:rFonts w:ascii="Times New Roman" w:hAnsi="Times New Roman" w:cs="Times New Roman"/>
          <w:sz w:val="24"/>
          <w:szCs w:val="24"/>
          <w:shd w:val="clear" w:color="auto" w:fill="FFFFFF"/>
        </w:rPr>
        <w:t xml:space="preserve"> Children may enter the juvenile court system not as respondents to the court, but as victims to be protected by the court under </w:t>
      </w:r>
      <w:proofErr w:type="spellStart"/>
      <w:r w:rsidRPr="00D92798">
        <w:rPr>
          <w:rFonts w:ascii="Times New Roman" w:hAnsi="Times New Roman" w:cs="Times New Roman"/>
          <w:i/>
          <w:iCs/>
          <w:sz w:val="24"/>
          <w:szCs w:val="24"/>
          <w:shd w:val="clear" w:color="auto" w:fill="FFFFFF"/>
        </w:rPr>
        <w:t>parens</w:t>
      </w:r>
      <w:proofErr w:type="spellEnd"/>
      <w:r w:rsidRPr="00D92798">
        <w:rPr>
          <w:rFonts w:ascii="Times New Roman" w:hAnsi="Times New Roman" w:cs="Times New Roman"/>
          <w:i/>
          <w:iCs/>
          <w:sz w:val="24"/>
          <w:szCs w:val="24"/>
          <w:shd w:val="clear" w:color="auto" w:fill="FFFFFF"/>
        </w:rPr>
        <w:t xml:space="preserve"> </w:t>
      </w:r>
      <w:proofErr w:type="spellStart"/>
      <w:r w:rsidRPr="00D92798">
        <w:rPr>
          <w:rFonts w:ascii="Times New Roman" w:hAnsi="Times New Roman" w:cs="Times New Roman"/>
          <w:i/>
          <w:iCs/>
          <w:sz w:val="24"/>
          <w:szCs w:val="24"/>
          <w:shd w:val="clear" w:color="auto" w:fill="FFFFFF"/>
        </w:rPr>
        <w:t>patriae</w:t>
      </w:r>
      <w:proofErr w:type="spellEnd"/>
      <w:r w:rsidRPr="00D92798">
        <w:rPr>
          <w:rFonts w:ascii="Times New Roman" w:hAnsi="Times New Roman" w:cs="Times New Roman"/>
          <w:sz w:val="24"/>
          <w:szCs w:val="24"/>
          <w:shd w:val="clear" w:color="auto" w:fill="FFFFFF"/>
        </w:rPr>
        <w:t xml:space="preserve"> or "the </w:t>
      </w:r>
      <w:r w:rsidRPr="00D92798">
        <w:rPr>
          <w:rFonts w:ascii="Times New Roman" w:hAnsi="Times New Roman" w:cs="Times New Roman"/>
          <w:sz w:val="24"/>
          <w:szCs w:val="24"/>
          <w:shd w:val="clear" w:color="auto" w:fill="FFFFFF"/>
        </w:rPr>
        <w:lastRenderedPageBreak/>
        <w:t xml:space="preserve">state as parent." In abuse and neglect proceedings, the court files a petition against the parent or adult caregiver of the child. Abuse involves cruelty, mental and/or physical, toward the child or inappropriate material or sexual contact. Neglect means the failure to care for or provide the basic needs of, the child or to protect them from abuse by others. </w:t>
      </w:r>
    </w:p>
    <w:p w14:paraId="7D44E9C5" w14:textId="135F7C56" w:rsidR="00251E9D" w:rsidRPr="00D92798" w:rsidRDefault="005A1C9F" w:rsidP="00D92798">
      <w:pPr>
        <w:kinsoku w:val="0"/>
        <w:overflowPunct w:val="0"/>
        <w:spacing w:before="47" w:line="480" w:lineRule="auto"/>
        <w:textAlignment w:val="baseline"/>
        <w:rPr>
          <w:rFonts w:ascii="Times New Roman" w:hAnsi="Times New Roman" w:cs="Times New Roman"/>
          <w:sz w:val="24"/>
          <w:szCs w:val="24"/>
          <w:shd w:val="clear" w:color="auto" w:fill="FFFFFF"/>
        </w:rPr>
      </w:pPr>
      <w:r w:rsidRPr="00D92798">
        <w:rPr>
          <w:rFonts w:ascii="Times New Roman" w:hAnsi="Times New Roman" w:cs="Times New Roman"/>
          <w:sz w:val="24"/>
          <w:szCs w:val="24"/>
          <w:shd w:val="clear" w:color="auto" w:fill="FFFFFF"/>
        </w:rPr>
        <w:t>Delinquency cases involve a child entering the juvenile court system because of criminal charges such as robbery, murder, assault, or other felonies. Since the late 1960s, youths charged with delinquency have the right to counsel, a notice of charges, and protection against self-incrimination as well as the right to appeal the court's decision.</w:t>
      </w:r>
    </w:p>
    <w:p w14:paraId="1F6CBD09" w14:textId="45C1A97D" w:rsidR="005A1C9F" w:rsidRDefault="005A1C9F" w:rsidP="00D92798">
      <w:pPr>
        <w:kinsoku w:val="0"/>
        <w:overflowPunct w:val="0"/>
        <w:spacing w:before="171" w:line="480" w:lineRule="auto"/>
        <w:jc w:val="both"/>
        <w:textAlignment w:val="baseline"/>
        <w:rPr>
          <w:rFonts w:ascii="Times New Roman" w:hAnsi="Times New Roman" w:cs="Times New Roman"/>
          <w:sz w:val="24"/>
          <w:szCs w:val="24"/>
        </w:rPr>
      </w:pPr>
      <w:r w:rsidRPr="00D92798">
        <w:rPr>
          <w:rFonts w:ascii="Times New Roman" w:hAnsi="Times New Roman" w:cs="Times New Roman"/>
          <w:sz w:val="24"/>
          <w:szCs w:val="24"/>
        </w:rPr>
        <w:t>Care and protection cases involve a great deal of juvenile court time. Care and protection cases distinguish themselves from status offences by emphasizing the shortcomings of the parents in caring for the child, rather than on the child's inability to obey the parent or school authorities (Home, 2005).</w:t>
      </w:r>
    </w:p>
    <w:p w14:paraId="318FFD79" w14:textId="77777777" w:rsidR="005A1C9F" w:rsidRDefault="005A1C9F">
      <w:pPr>
        <w:rPr>
          <w:rFonts w:ascii="Times New Roman" w:hAnsi="Times New Roman" w:cs="Times New Roman"/>
          <w:sz w:val="24"/>
          <w:szCs w:val="24"/>
        </w:rPr>
      </w:pPr>
      <w:r>
        <w:rPr>
          <w:rFonts w:ascii="Times New Roman" w:hAnsi="Times New Roman" w:cs="Times New Roman"/>
          <w:sz w:val="24"/>
          <w:szCs w:val="24"/>
        </w:rPr>
        <w:br w:type="page"/>
      </w:r>
    </w:p>
    <w:p w14:paraId="2A1A15C3" w14:textId="34D948BD" w:rsidR="00D92798" w:rsidRDefault="006C1362" w:rsidP="006C1362">
      <w:pPr>
        <w:kinsoku w:val="0"/>
        <w:overflowPunct w:val="0"/>
        <w:spacing w:before="171" w:line="480" w:lineRule="auto"/>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REFERENCES</w:t>
      </w:r>
    </w:p>
    <w:p w14:paraId="5ED2B3E7" w14:textId="095A0390" w:rsidR="006C1362" w:rsidRDefault="006C1362" w:rsidP="006C1362">
      <w:pPr>
        <w:kinsoku w:val="0"/>
        <w:overflowPunct w:val="0"/>
        <w:spacing w:before="171" w:line="480" w:lineRule="auto"/>
        <w:jc w:val="center"/>
        <w:textAlignment w:val="baseline"/>
        <w:rPr>
          <w:rFonts w:ascii="Times New Roman" w:hAnsi="Times New Roman" w:cs="Times New Roman"/>
          <w:sz w:val="24"/>
          <w:szCs w:val="24"/>
        </w:rPr>
      </w:pPr>
      <w:proofErr w:type="spellStart"/>
      <w:r w:rsidRPr="006C1362">
        <w:rPr>
          <w:rFonts w:ascii="Times New Roman" w:hAnsi="Times New Roman" w:cs="Times New Roman"/>
          <w:sz w:val="24"/>
          <w:szCs w:val="24"/>
        </w:rPr>
        <w:t>Bartollas</w:t>
      </w:r>
      <w:proofErr w:type="spellEnd"/>
      <w:r w:rsidRPr="006C1362">
        <w:rPr>
          <w:rFonts w:ascii="Times New Roman" w:hAnsi="Times New Roman" w:cs="Times New Roman"/>
          <w:sz w:val="24"/>
          <w:szCs w:val="24"/>
        </w:rPr>
        <w:t>, C., &amp; Miller, S. J. (2010). Juvenile Justice in America.  Upper Saddle River, NJ: Pearson.</w:t>
      </w:r>
    </w:p>
    <w:p w14:paraId="0EC83E2D" w14:textId="1546F932" w:rsidR="006C1362" w:rsidRPr="00D92798" w:rsidRDefault="006C1362" w:rsidP="006C1362">
      <w:pPr>
        <w:kinsoku w:val="0"/>
        <w:overflowPunct w:val="0"/>
        <w:spacing w:before="171" w:line="480" w:lineRule="auto"/>
        <w:jc w:val="center"/>
        <w:textAlignment w:val="baseline"/>
        <w:rPr>
          <w:rFonts w:ascii="Times New Roman" w:hAnsi="Times New Roman" w:cs="Times New Roman"/>
          <w:sz w:val="24"/>
          <w:szCs w:val="24"/>
        </w:rPr>
      </w:pPr>
      <w:r w:rsidRPr="006C1362">
        <w:rPr>
          <w:rFonts w:ascii="Times New Roman" w:hAnsi="Times New Roman" w:cs="Times New Roman"/>
          <w:sz w:val="24"/>
          <w:szCs w:val="24"/>
        </w:rPr>
        <w:t>Children’s Defense Fund. (2014). The State of America’s Children 2014.” Retrieved June 2, 2015, from www.childrensdefence.org.</w:t>
      </w:r>
    </w:p>
    <w:p w14:paraId="5131996D" w14:textId="77777777" w:rsidR="00D92798" w:rsidRPr="00D92798" w:rsidRDefault="00D92798" w:rsidP="00D92798">
      <w:pPr>
        <w:kinsoku w:val="0"/>
        <w:overflowPunct w:val="0"/>
        <w:spacing w:before="47" w:line="480" w:lineRule="auto"/>
        <w:textAlignment w:val="baseline"/>
        <w:rPr>
          <w:rFonts w:ascii="Times New Roman" w:hAnsi="Times New Roman" w:cs="Times New Roman"/>
          <w:spacing w:val="2"/>
          <w:sz w:val="24"/>
          <w:szCs w:val="24"/>
        </w:rPr>
      </w:pPr>
    </w:p>
    <w:p w14:paraId="08D43DF6" w14:textId="77777777" w:rsidR="00A41EAC" w:rsidRPr="00D92798" w:rsidRDefault="00A41EAC" w:rsidP="00D92798">
      <w:pPr>
        <w:spacing w:line="480" w:lineRule="auto"/>
        <w:rPr>
          <w:rFonts w:ascii="Times New Roman" w:hAnsi="Times New Roman" w:cs="Times New Roman"/>
          <w:sz w:val="24"/>
          <w:szCs w:val="24"/>
        </w:rPr>
      </w:pPr>
    </w:p>
    <w:sectPr w:rsidR="00A41EAC" w:rsidRPr="00D927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251BD7" w14:textId="77777777" w:rsidR="00731640" w:rsidRDefault="00731640" w:rsidP="006C1362">
      <w:pPr>
        <w:spacing w:after="0" w:line="240" w:lineRule="auto"/>
      </w:pPr>
      <w:r>
        <w:separator/>
      </w:r>
    </w:p>
  </w:endnote>
  <w:endnote w:type="continuationSeparator" w:id="0">
    <w:p w14:paraId="7C0B0DE5" w14:textId="77777777" w:rsidR="00731640" w:rsidRDefault="00731640" w:rsidP="006C1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49A141" w14:textId="77777777" w:rsidR="00731640" w:rsidRDefault="00731640" w:rsidP="006C1362">
      <w:pPr>
        <w:spacing w:after="0" w:line="240" w:lineRule="auto"/>
      </w:pPr>
      <w:r>
        <w:separator/>
      </w:r>
    </w:p>
  </w:footnote>
  <w:footnote w:type="continuationSeparator" w:id="0">
    <w:p w14:paraId="78BC7D0A" w14:textId="77777777" w:rsidR="00731640" w:rsidRDefault="00731640" w:rsidP="006C1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A0321" w14:textId="229B30A0" w:rsidR="006C1362" w:rsidRDefault="006C1362">
    <w:pPr>
      <w:pStyle w:val="Header"/>
    </w:pPr>
    <w:r>
      <w:t>RUNNING HEAD: JUVINILE COURT JUSTICE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B92CE0"/>
    <w:multiLevelType w:val="hybridMultilevel"/>
    <w:tmpl w:val="865C0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2B3924"/>
    <w:multiLevelType w:val="hybridMultilevel"/>
    <w:tmpl w:val="00F86CA4"/>
    <w:lvl w:ilvl="0" w:tplc="66DEDE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8B64F25"/>
    <w:multiLevelType w:val="hybridMultilevel"/>
    <w:tmpl w:val="209EB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B56A32"/>
    <w:multiLevelType w:val="hybridMultilevel"/>
    <w:tmpl w:val="DB6A0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F43"/>
    <w:rsid w:val="00015CCD"/>
    <w:rsid w:val="00105DBE"/>
    <w:rsid w:val="002365AB"/>
    <w:rsid w:val="00251E9D"/>
    <w:rsid w:val="002E135E"/>
    <w:rsid w:val="003D3B81"/>
    <w:rsid w:val="00431B74"/>
    <w:rsid w:val="004D12BD"/>
    <w:rsid w:val="005A1C9F"/>
    <w:rsid w:val="006C1362"/>
    <w:rsid w:val="00731640"/>
    <w:rsid w:val="00A03DB3"/>
    <w:rsid w:val="00A41EAC"/>
    <w:rsid w:val="00B926B6"/>
    <w:rsid w:val="00BF3F43"/>
    <w:rsid w:val="00D42418"/>
    <w:rsid w:val="00D9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E101C"/>
  <w15:chartTrackingRefBased/>
  <w15:docId w15:val="{96A7A858-51A5-428D-B2C7-A952D747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362"/>
  </w:style>
  <w:style w:type="paragraph" w:styleId="Footer">
    <w:name w:val="footer"/>
    <w:basedOn w:val="Normal"/>
    <w:link w:val="FooterChar"/>
    <w:uiPriority w:val="99"/>
    <w:unhideWhenUsed/>
    <w:rsid w:val="006C1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362"/>
  </w:style>
  <w:style w:type="paragraph" w:styleId="ListParagraph">
    <w:name w:val="List Paragraph"/>
    <w:basedOn w:val="Normal"/>
    <w:uiPriority w:val="34"/>
    <w:qFormat/>
    <w:rsid w:val="00431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Windows User</cp:lastModifiedBy>
  <cp:revision>3</cp:revision>
  <dcterms:created xsi:type="dcterms:W3CDTF">2020-04-17T19:07:00Z</dcterms:created>
  <dcterms:modified xsi:type="dcterms:W3CDTF">2020-04-17T19:16:00Z</dcterms:modified>
</cp:coreProperties>
</file>